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A1E68" w:rsidRPr="004079E2" w:rsidRDefault="00F749E4"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4079E2">
        <w:rPr>
          <w:rFonts w:ascii="Times New Roman" w:eastAsia="Times New Roman" w:hAnsi="Times New Roman" w:cs="Times New Roman"/>
          <w:color w:val="000000" w:themeColor="text1"/>
          <w:sz w:val="24"/>
          <w:szCs w:val="24"/>
        </w:rPr>
        <w:t>Sarah Bloom</w:t>
      </w:r>
    </w:p>
    <w:p w:rsidR="004079E2" w:rsidRP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4079E2">
        <w:rPr>
          <w:rFonts w:ascii="Times New Roman" w:eastAsia="Times New Roman" w:hAnsi="Times New Roman" w:cs="Times New Roman"/>
          <w:color w:val="000000" w:themeColor="text1"/>
          <w:sz w:val="24"/>
          <w:szCs w:val="24"/>
        </w:rPr>
        <w:t>Name</w:t>
      </w:r>
    </w:p>
    <w:p w:rsidR="004079E2" w:rsidRP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4079E2">
        <w:rPr>
          <w:rFonts w:ascii="Times New Roman" w:eastAsia="Times New Roman" w:hAnsi="Times New Roman" w:cs="Times New Roman"/>
          <w:color w:val="000000" w:themeColor="text1"/>
          <w:sz w:val="24"/>
          <w:szCs w:val="24"/>
        </w:rPr>
        <w:t>Institution</w:t>
      </w:r>
    </w:p>
    <w:p w:rsidR="004079E2" w:rsidRP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4079E2">
        <w:rPr>
          <w:rFonts w:ascii="Times New Roman" w:eastAsia="Times New Roman" w:hAnsi="Times New Roman" w:cs="Times New Roman"/>
          <w:color w:val="000000" w:themeColor="text1"/>
          <w:sz w:val="24"/>
          <w:szCs w:val="24"/>
        </w:rPr>
        <w:t>Course</w:t>
      </w: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4079E2">
        <w:rPr>
          <w:rFonts w:ascii="Times New Roman" w:eastAsia="Times New Roman" w:hAnsi="Times New Roman" w:cs="Times New Roman"/>
          <w:color w:val="000000" w:themeColor="text1"/>
          <w:sz w:val="24"/>
          <w:szCs w:val="24"/>
        </w:rPr>
        <w:t>Date</w:t>
      </w: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4079E2" w:rsidRPr="004079E2" w:rsidRDefault="004079E2" w:rsidP="004079E2">
      <w:pPr>
        <w:shd w:val="clear" w:color="auto" w:fill="FFFFFF"/>
        <w:spacing w:after="0" w:line="480" w:lineRule="auto"/>
        <w:jc w:val="center"/>
        <w:rPr>
          <w:rFonts w:ascii="Times New Roman" w:eastAsia="Times New Roman" w:hAnsi="Times New Roman" w:cs="Times New Roman"/>
          <w:color w:val="000000" w:themeColor="text1"/>
          <w:sz w:val="24"/>
          <w:szCs w:val="24"/>
        </w:rPr>
      </w:pPr>
      <w:bookmarkStart w:id="0" w:name="_GoBack"/>
      <w:bookmarkEnd w:id="0"/>
    </w:p>
    <w:p w:rsidR="008B2DC2" w:rsidRPr="004079E2" w:rsidRDefault="00F749E4" w:rsidP="004079E2">
      <w:pPr>
        <w:spacing w:line="480" w:lineRule="auto"/>
        <w:ind w:firstLine="720"/>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lastRenderedPageBreak/>
        <w:t xml:space="preserve">Sarah Bloom and her co-investigators explored procedures to measure social interaction preference in people with developmental and intellectual disabilities. Using paired-choice methods where participants approached therapists that offered diverse </w:t>
      </w:r>
      <w:r w:rsidR="00603F86" w:rsidRPr="004079E2">
        <w:rPr>
          <w:rFonts w:ascii="Times New Roman" w:hAnsi="Times New Roman" w:cs="Times New Roman"/>
          <w:color w:val="000000" w:themeColor="text1"/>
          <w:sz w:val="24"/>
          <w:szCs w:val="24"/>
        </w:rPr>
        <w:t>social interaction forms, preferences were identified in five individuals</w:t>
      </w:r>
      <w:r w:rsidR="00121EE4" w:rsidRPr="004079E2">
        <w:rPr>
          <w:rFonts w:ascii="Times New Roman" w:hAnsi="Times New Roman" w:cs="Times New Roman"/>
          <w:color w:val="000000" w:themeColor="text1"/>
          <w:sz w:val="24"/>
          <w:szCs w:val="24"/>
        </w:rPr>
        <w:t xml:space="preserve"> (Samaha, Bloom, &amp; Koehler, 2016)</w:t>
      </w:r>
      <w:r w:rsidR="00603F86" w:rsidRPr="004079E2">
        <w:rPr>
          <w:rFonts w:ascii="Times New Roman" w:hAnsi="Times New Roman" w:cs="Times New Roman"/>
          <w:color w:val="000000" w:themeColor="text1"/>
          <w:sz w:val="24"/>
          <w:szCs w:val="24"/>
        </w:rPr>
        <w:t xml:space="preserve">. Consequent tracking tests indicated that approaches of participants were under social interaction form control offered as oppose to distinctive therapist features. Reinforcer assessment results revealed that the social interactions established as favorable also worked as a </w:t>
      </w:r>
      <w:r w:rsidR="00780E04" w:rsidRPr="004079E2">
        <w:rPr>
          <w:rFonts w:ascii="Times New Roman" w:hAnsi="Times New Roman" w:cs="Times New Roman"/>
          <w:color w:val="000000" w:themeColor="text1"/>
          <w:sz w:val="24"/>
          <w:szCs w:val="24"/>
        </w:rPr>
        <w:t>reinforcer for</w:t>
      </w:r>
      <w:r w:rsidR="00603F86" w:rsidRPr="004079E2">
        <w:rPr>
          <w:rFonts w:ascii="Times New Roman" w:hAnsi="Times New Roman" w:cs="Times New Roman"/>
          <w:color w:val="000000" w:themeColor="text1"/>
          <w:sz w:val="24"/>
          <w:szCs w:val="24"/>
        </w:rPr>
        <w:t xml:space="preserve"> all the five participants. </w:t>
      </w:r>
    </w:p>
    <w:p w:rsidR="003B4437" w:rsidRPr="004079E2" w:rsidRDefault="00F749E4" w:rsidP="004079E2">
      <w:pPr>
        <w:spacing w:line="480" w:lineRule="auto"/>
        <w:ind w:firstLine="720"/>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t xml:space="preserve">Needs assessment options included PhotoVoice, interviews, and surveys. In addition to secondary data, the researchers carried primary data collection methods that were accomplished via at least 5 hours of community service of 30 surveys (minimum) or two in-depth interviews. </w:t>
      </w:r>
    </w:p>
    <w:p w:rsidR="00121EE4" w:rsidRPr="004079E2" w:rsidRDefault="00F749E4" w:rsidP="004079E2">
      <w:pPr>
        <w:pStyle w:val="ListParagraph"/>
        <w:numPr>
          <w:ilvl w:val="0"/>
          <w:numId w:val="1"/>
        </w:numPr>
        <w:spacing w:line="480" w:lineRule="auto"/>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t>Three notable themes you found in the author’s work.</w:t>
      </w:r>
    </w:p>
    <w:p w:rsidR="00780E04" w:rsidRPr="004079E2" w:rsidRDefault="00F749E4" w:rsidP="004079E2">
      <w:pPr>
        <w:spacing w:line="480" w:lineRule="auto"/>
        <w:ind w:firstLine="720"/>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t xml:space="preserve">The three notable themes found in the work of Sara Bloom are social interactions, mental illness, and substance abuse, </w:t>
      </w:r>
      <w:r w:rsidR="0020629A" w:rsidRPr="004079E2">
        <w:rPr>
          <w:rFonts w:ascii="Times New Roman" w:hAnsi="Times New Roman" w:cs="Times New Roman"/>
          <w:color w:val="000000" w:themeColor="text1"/>
          <w:sz w:val="24"/>
          <w:szCs w:val="24"/>
        </w:rPr>
        <w:t>and mental health matters</w:t>
      </w:r>
      <w:r w:rsidR="00121EE4" w:rsidRPr="004079E2">
        <w:rPr>
          <w:rFonts w:ascii="Times New Roman" w:hAnsi="Times New Roman" w:cs="Times New Roman"/>
          <w:color w:val="000000" w:themeColor="text1"/>
          <w:sz w:val="24"/>
          <w:szCs w:val="24"/>
        </w:rPr>
        <w:t xml:space="preserve"> (Samaha, Bloom, &amp; Koehler, 2016)</w:t>
      </w:r>
      <w:r w:rsidR="0020629A" w:rsidRPr="004079E2">
        <w:rPr>
          <w:rFonts w:ascii="Times New Roman" w:hAnsi="Times New Roman" w:cs="Times New Roman"/>
          <w:color w:val="000000" w:themeColor="text1"/>
          <w:sz w:val="24"/>
          <w:szCs w:val="24"/>
        </w:rPr>
        <w:t xml:space="preserve">. Examinations and testing should be carried out to every individual during routine physicals to establish their mental status. Treatments of mental illness need to be free irrespective of insurance or lack of insurance. Timely identifications, precise diagnosis as well as successful treatment of mental illness conditions may improve tremendous suffering for individuals and their family members that deal with challenges of behavioral health. Offering timely care can assist people to gain access to employment, to establish positive connections, to recover more quickly, and eventually to live more productive and useful lives. Early identifications of substance use and mental health matters need to take place when and where the individuals involved are mainly likely to show alarms, such as learning institutions. In addition to learning </w:t>
      </w:r>
      <w:r w:rsidR="0020629A" w:rsidRPr="004079E2">
        <w:rPr>
          <w:rFonts w:ascii="Times New Roman" w:hAnsi="Times New Roman" w:cs="Times New Roman"/>
          <w:color w:val="000000" w:themeColor="text1"/>
          <w:sz w:val="24"/>
          <w:szCs w:val="24"/>
        </w:rPr>
        <w:lastRenderedPageBreak/>
        <w:t>institutions, the providers of primary health care, as well as other leaders of the community, should be provided with supports and tools essential in the identification of symptoms and signs of substance use and mental health matters at the earliest time possible</w:t>
      </w:r>
      <w:r w:rsidR="00121EE4" w:rsidRPr="004079E2">
        <w:rPr>
          <w:rFonts w:ascii="Times New Roman" w:hAnsi="Times New Roman" w:cs="Times New Roman"/>
          <w:color w:val="000000" w:themeColor="text1"/>
          <w:sz w:val="24"/>
          <w:szCs w:val="24"/>
        </w:rPr>
        <w:t xml:space="preserve"> (Samaha, Bloom, &amp; Koehler, 2016)</w:t>
      </w:r>
      <w:r w:rsidR="0020629A" w:rsidRPr="004079E2">
        <w:rPr>
          <w:rFonts w:ascii="Times New Roman" w:hAnsi="Times New Roman" w:cs="Times New Roman"/>
          <w:color w:val="000000" w:themeColor="text1"/>
          <w:sz w:val="24"/>
          <w:szCs w:val="24"/>
        </w:rPr>
        <w:t>. Doing so shall minimize the possibilities and results of delaying care.</w:t>
      </w:r>
    </w:p>
    <w:p w:rsidR="00121EE4" w:rsidRPr="004079E2" w:rsidRDefault="00F749E4" w:rsidP="004079E2">
      <w:pPr>
        <w:pStyle w:val="ListParagraph"/>
        <w:numPr>
          <w:ilvl w:val="0"/>
          <w:numId w:val="1"/>
        </w:numPr>
        <w:spacing w:line="480" w:lineRule="auto"/>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t>Possible applications of the author’s work to other populations or problems.</w:t>
      </w:r>
    </w:p>
    <w:p w:rsidR="0020629A" w:rsidRPr="004079E2" w:rsidRDefault="00F749E4" w:rsidP="004079E2">
      <w:pPr>
        <w:spacing w:line="480" w:lineRule="auto"/>
        <w:ind w:firstLine="720"/>
        <w:jc w:val="both"/>
        <w:rPr>
          <w:rFonts w:ascii="Times New Roman" w:hAnsi="Times New Roman" w:cs="Times New Roman"/>
          <w:color w:val="000000" w:themeColor="text1"/>
          <w:sz w:val="24"/>
          <w:szCs w:val="24"/>
          <w:lang w:val="en-GB"/>
        </w:rPr>
      </w:pPr>
      <w:r w:rsidRPr="004079E2">
        <w:rPr>
          <w:rFonts w:ascii="Times New Roman" w:hAnsi="Times New Roman" w:cs="Times New Roman"/>
          <w:color w:val="000000" w:themeColor="text1"/>
          <w:sz w:val="24"/>
          <w:szCs w:val="24"/>
          <w:lang w:val="en-GB"/>
        </w:rPr>
        <w:t>The work can be used to study mental illness in society</w:t>
      </w:r>
      <w:r w:rsidR="00121EE4" w:rsidRPr="004079E2">
        <w:rPr>
          <w:rFonts w:ascii="Times New Roman" w:hAnsi="Times New Roman" w:cs="Times New Roman"/>
          <w:color w:val="000000" w:themeColor="text1"/>
          <w:sz w:val="24"/>
          <w:szCs w:val="24"/>
          <w:lang w:val="en-GB"/>
        </w:rPr>
        <w:t xml:space="preserve"> (Samaha, Bloom, &amp; Koehler, 2016)</w:t>
      </w:r>
      <w:r w:rsidRPr="004079E2">
        <w:rPr>
          <w:rFonts w:ascii="Times New Roman" w:hAnsi="Times New Roman" w:cs="Times New Roman"/>
          <w:color w:val="000000" w:themeColor="text1"/>
          <w:sz w:val="24"/>
          <w:szCs w:val="24"/>
          <w:lang w:val="en-GB"/>
        </w:rPr>
        <w:t>. Mental illness is a significant problem in our community and is a big contributor to crimes and illegal drug use. This point appeals to the emotional side. Mental disorders are significant problems facing society and should be handled with the seriousness that it deserves.</w:t>
      </w:r>
      <w:r w:rsidR="00C72352">
        <w:rPr>
          <w:rFonts w:ascii="Times New Roman" w:hAnsi="Times New Roman" w:cs="Times New Roman"/>
          <w:color w:val="000000" w:themeColor="text1"/>
          <w:sz w:val="24"/>
          <w:szCs w:val="24"/>
          <w:lang w:val="en-GB"/>
        </w:rPr>
        <w:t xml:space="preserve"> </w:t>
      </w:r>
      <w:r w:rsidRPr="004079E2">
        <w:rPr>
          <w:rFonts w:ascii="Times New Roman" w:hAnsi="Times New Roman" w:cs="Times New Roman"/>
          <w:color w:val="000000" w:themeColor="text1"/>
          <w:sz w:val="24"/>
          <w:szCs w:val="24"/>
          <w:lang w:val="en-GB"/>
        </w:rPr>
        <w:t>Education and community outreach are essential in identifying the challenges to refer the people to more detailed examination and care they need in coping with the challenges of substance use and mental health. This is an educational appeal as people need to be made aware of the importance of mental illness screening and treatment to realize a society free of diseases. We would all accept that the rate of mental illness is increasing and wanting, and if care is not taken, it would be a national disaster soon. One would logically agree that mental health should part of the educational curriculum. Promotion and financing of community education and outreach in identifying early signs and symptoms of conditions of substance use and mental disorders can arm community leaders, mentors, spiritual leaders, friends,  teachers, and parents with resources, skills, and knowledge for identification and reference of youths into essential care.</w:t>
      </w:r>
    </w:p>
    <w:p w:rsidR="00DA1E68" w:rsidRPr="004079E2" w:rsidRDefault="00F749E4" w:rsidP="004079E2">
      <w:pPr>
        <w:spacing w:line="480" w:lineRule="auto"/>
        <w:ind w:firstLine="720"/>
        <w:jc w:val="both"/>
        <w:rPr>
          <w:rFonts w:ascii="Times New Roman" w:hAnsi="Times New Roman" w:cs="Times New Roman"/>
          <w:color w:val="000000" w:themeColor="text1"/>
          <w:sz w:val="24"/>
          <w:szCs w:val="24"/>
          <w:lang w:val="en-GB"/>
        </w:rPr>
      </w:pPr>
      <w:r w:rsidRPr="004079E2">
        <w:rPr>
          <w:rFonts w:ascii="Times New Roman" w:hAnsi="Times New Roman" w:cs="Times New Roman"/>
          <w:color w:val="000000" w:themeColor="text1"/>
          <w:sz w:val="24"/>
          <w:szCs w:val="24"/>
          <w:lang w:val="en-GB"/>
        </w:rPr>
        <w:t xml:space="preserve">The study can also be applied to the suicide rate among the elderly. The social cognitive theory provides ways of comprehending social connectedness relationships with suicides. The Interpersonal Suicide Theory, which is a subset of the social cognitive theory, suggests that there are two proximal desire causes for suicides. These are perceived burdensomeness and thwarted </w:t>
      </w:r>
      <w:r w:rsidRPr="004079E2">
        <w:rPr>
          <w:rFonts w:ascii="Times New Roman" w:hAnsi="Times New Roman" w:cs="Times New Roman"/>
          <w:color w:val="000000" w:themeColor="text1"/>
          <w:sz w:val="24"/>
          <w:szCs w:val="24"/>
          <w:lang w:val="en-GB"/>
        </w:rPr>
        <w:lastRenderedPageBreak/>
        <w:t>belongingness, with specifically dangerous suicidal desire level originating from the simultaneous presence of both aspects. In an acquire capability presence for suicides, for example, prior experiences with pains, the painful mental states may become lethal. The thwarted belongingness construct originated for the elementary connectedness need. It reflected in social isolation indices that have been empirically associated with late-life suicides such as low social support, loneliness, loss of a spouse, and living alone. The theory suggests that both functional impairments and family discords are related to late-life suicides since both aspects are likely to provoke burdensomeness perceptions. Connections to their community and other individuals conversely may serve to safeguard the elderly individuals against suicidal desire development in the stressful life scenarios face. The Interpersonal Theory suggests that suicidal risk factors that include psychiatric illnesses increase risks for suicides by exacerbating or causing acquired capability, thwarted belongingness, and perceived burdensomeness.</w:t>
      </w:r>
    </w:p>
    <w:p w:rsidR="00C72352" w:rsidRDefault="00C72352" w:rsidP="00C72352">
      <w:pPr>
        <w:spacing w:line="480" w:lineRule="auto"/>
        <w:jc w:val="center"/>
        <w:rPr>
          <w:rFonts w:ascii="Times New Roman" w:hAnsi="Times New Roman" w:cs="Times New Roman"/>
          <w:color w:val="000000" w:themeColor="text1"/>
          <w:sz w:val="24"/>
          <w:szCs w:val="24"/>
          <w:lang w:val="en-GB"/>
        </w:rPr>
      </w:pPr>
    </w:p>
    <w:p w:rsidR="00C72352" w:rsidRDefault="00C72352" w:rsidP="00C72352">
      <w:pPr>
        <w:spacing w:line="480" w:lineRule="auto"/>
        <w:jc w:val="center"/>
        <w:rPr>
          <w:rFonts w:ascii="Times New Roman" w:hAnsi="Times New Roman" w:cs="Times New Roman"/>
          <w:color w:val="000000" w:themeColor="text1"/>
          <w:sz w:val="24"/>
          <w:szCs w:val="24"/>
          <w:lang w:val="en-GB"/>
        </w:rPr>
      </w:pPr>
    </w:p>
    <w:p w:rsidR="00C72352" w:rsidRDefault="00C72352" w:rsidP="00C72352">
      <w:pPr>
        <w:spacing w:line="480" w:lineRule="auto"/>
        <w:jc w:val="center"/>
        <w:rPr>
          <w:rFonts w:ascii="Times New Roman" w:hAnsi="Times New Roman" w:cs="Times New Roman"/>
          <w:color w:val="000000" w:themeColor="text1"/>
          <w:sz w:val="24"/>
          <w:szCs w:val="24"/>
          <w:lang w:val="en-GB"/>
        </w:rPr>
      </w:pPr>
    </w:p>
    <w:p w:rsidR="00C72352" w:rsidRDefault="00C72352" w:rsidP="00C72352">
      <w:pPr>
        <w:spacing w:line="480" w:lineRule="auto"/>
        <w:jc w:val="center"/>
        <w:rPr>
          <w:rFonts w:ascii="Times New Roman" w:hAnsi="Times New Roman" w:cs="Times New Roman"/>
          <w:color w:val="000000" w:themeColor="text1"/>
          <w:sz w:val="24"/>
          <w:szCs w:val="24"/>
          <w:lang w:val="en-GB"/>
        </w:rPr>
      </w:pPr>
    </w:p>
    <w:p w:rsidR="00C72352" w:rsidRDefault="00C72352" w:rsidP="00C72352">
      <w:pPr>
        <w:spacing w:line="480" w:lineRule="auto"/>
        <w:jc w:val="center"/>
        <w:rPr>
          <w:rFonts w:ascii="Times New Roman" w:hAnsi="Times New Roman" w:cs="Times New Roman"/>
          <w:color w:val="000000" w:themeColor="text1"/>
          <w:sz w:val="24"/>
          <w:szCs w:val="24"/>
          <w:lang w:val="en-GB"/>
        </w:rPr>
      </w:pPr>
    </w:p>
    <w:p w:rsidR="00C72352" w:rsidRDefault="00C72352" w:rsidP="00C72352">
      <w:pPr>
        <w:spacing w:line="480" w:lineRule="auto"/>
        <w:jc w:val="center"/>
        <w:rPr>
          <w:rFonts w:ascii="Times New Roman" w:hAnsi="Times New Roman" w:cs="Times New Roman"/>
          <w:color w:val="000000" w:themeColor="text1"/>
          <w:sz w:val="24"/>
          <w:szCs w:val="24"/>
          <w:lang w:val="en-GB"/>
        </w:rPr>
      </w:pPr>
    </w:p>
    <w:p w:rsidR="00C72352" w:rsidRDefault="00C72352" w:rsidP="00C72352">
      <w:pPr>
        <w:spacing w:line="480" w:lineRule="auto"/>
        <w:jc w:val="center"/>
        <w:rPr>
          <w:rFonts w:ascii="Times New Roman" w:hAnsi="Times New Roman" w:cs="Times New Roman"/>
          <w:color w:val="000000" w:themeColor="text1"/>
          <w:sz w:val="24"/>
          <w:szCs w:val="24"/>
          <w:lang w:val="en-GB"/>
        </w:rPr>
      </w:pPr>
    </w:p>
    <w:p w:rsidR="00C72352" w:rsidRDefault="00C72352" w:rsidP="00C72352">
      <w:pPr>
        <w:spacing w:line="480" w:lineRule="auto"/>
        <w:jc w:val="center"/>
        <w:rPr>
          <w:rFonts w:ascii="Times New Roman" w:hAnsi="Times New Roman" w:cs="Times New Roman"/>
          <w:color w:val="000000" w:themeColor="text1"/>
          <w:sz w:val="24"/>
          <w:szCs w:val="24"/>
          <w:lang w:val="en-GB"/>
        </w:rPr>
      </w:pPr>
    </w:p>
    <w:p w:rsidR="00C72352" w:rsidRDefault="00C72352" w:rsidP="00C72352">
      <w:pPr>
        <w:spacing w:line="480" w:lineRule="auto"/>
        <w:jc w:val="center"/>
        <w:rPr>
          <w:rFonts w:ascii="Times New Roman" w:hAnsi="Times New Roman" w:cs="Times New Roman"/>
          <w:color w:val="000000" w:themeColor="text1"/>
          <w:sz w:val="24"/>
          <w:szCs w:val="24"/>
          <w:lang w:val="en-GB"/>
        </w:rPr>
      </w:pPr>
    </w:p>
    <w:p w:rsidR="00121EE4" w:rsidRPr="004079E2" w:rsidRDefault="00F749E4" w:rsidP="00C72352">
      <w:pPr>
        <w:spacing w:line="480" w:lineRule="auto"/>
        <w:jc w:val="center"/>
        <w:rPr>
          <w:rFonts w:ascii="Times New Roman" w:hAnsi="Times New Roman" w:cs="Times New Roman"/>
          <w:color w:val="000000" w:themeColor="text1"/>
          <w:sz w:val="24"/>
          <w:szCs w:val="24"/>
          <w:lang w:val="en-GB"/>
        </w:rPr>
      </w:pPr>
      <w:r w:rsidRPr="004079E2">
        <w:rPr>
          <w:rFonts w:ascii="Times New Roman" w:hAnsi="Times New Roman" w:cs="Times New Roman"/>
          <w:color w:val="000000" w:themeColor="text1"/>
          <w:sz w:val="24"/>
          <w:szCs w:val="24"/>
          <w:lang w:val="en-GB"/>
        </w:rPr>
        <w:lastRenderedPageBreak/>
        <w:t>Reference</w:t>
      </w:r>
    </w:p>
    <w:p w:rsidR="00DA1E68" w:rsidRPr="004079E2" w:rsidRDefault="00F749E4" w:rsidP="004079E2">
      <w:pPr>
        <w:spacing w:line="480" w:lineRule="auto"/>
        <w:ind w:left="720" w:hanging="720"/>
        <w:jc w:val="both"/>
        <w:rPr>
          <w:rFonts w:ascii="Times New Roman" w:hAnsi="Times New Roman" w:cs="Times New Roman"/>
          <w:color w:val="000000" w:themeColor="text1"/>
          <w:sz w:val="24"/>
          <w:szCs w:val="24"/>
        </w:rPr>
      </w:pPr>
      <w:r w:rsidRPr="004079E2">
        <w:rPr>
          <w:rFonts w:ascii="Times New Roman" w:hAnsi="Times New Roman" w:cs="Times New Roman"/>
          <w:color w:val="000000" w:themeColor="text1"/>
          <w:sz w:val="24"/>
          <w:szCs w:val="24"/>
        </w:rPr>
        <w:t>Samaha, A. L., Bloom, S. E., &amp; Koehler, L. J. (2016). Preference Assessments for Clinical Decision Making. In Handbook of evidence-based practices in intellectual and developmental disabilities (pp. 99-122). Springer, Cham.</w:t>
      </w:r>
    </w:p>
    <w:sectPr w:rsidR="00DA1E68" w:rsidRPr="004079E2" w:rsidSect="00C723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5943" w:rsidRDefault="00DD5943" w:rsidP="004079E2">
      <w:pPr>
        <w:spacing w:after="0" w:line="240" w:lineRule="auto"/>
      </w:pPr>
      <w:r>
        <w:separator/>
      </w:r>
    </w:p>
  </w:endnote>
  <w:endnote w:type="continuationSeparator" w:id="1">
    <w:p w:rsidR="00DD5943" w:rsidRDefault="00DD5943" w:rsidP="004079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5943" w:rsidRDefault="00DD5943" w:rsidP="004079E2">
      <w:pPr>
        <w:spacing w:after="0" w:line="240" w:lineRule="auto"/>
      </w:pPr>
      <w:r>
        <w:separator/>
      </w:r>
    </w:p>
  </w:footnote>
  <w:footnote w:type="continuationSeparator" w:id="1">
    <w:p w:rsidR="00DD5943" w:rsidRDefault="00DD5943" w:rsidP="004079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9E2" w:rsidRPr="00C72352" w:rsidRDefault="00C72352" w:rsidP="00C72352">
    <w:pPr>
      <w:pStyle w:val="Header"/>
      <w:jc w:val="right"/>
      <w:rPr>
        <w:rFonts w:ascii="Times New Roman" w:hAnsi="Times New Roman" w:cs="Times New Roman"/>
        <w:sz w:val="24"/>
        <w:szCs w:val="24"/>
      </w:rPr>
    </w:pPr>
    <w:r w:rsidRPr="00C72352">
      <w:rPr>
        <w:rFonts w:ascii="Times New Roman" w:hAnsi="Times New Roman" w:cs="Times New Roman"/>
        <w:sz w:val="24"/>
        <w:szCs w:val="24"/>
      </w:rPr>
      <w:t xml:space="preserve">SARAH BLOOM </w:t>
    </w:r>
    <w:r w:rsidRPr="00C72352">
      <w:rPr>
        <w:rFonts w:ascii="Times New Roman" w:hAnsi="Times New Roman" w:cs="Times New Roman"/>
        <w:sz w:val="24"/>
        <w:szCs w:val="24"/>
      </w:rPr>
      <w:tab/>
      <w:t>`</w:t>
    </w:r>
    <w:r w:rsidRPr="00C72352">
      <w:rPr>
        <w:rFonts w:ascii="Times New Roman" w:hAnsi="Times New Roman" w:cs="Times New Roman"/>
        <w:sz w:val="24"/>
        <w:szCs w:val="24"/>
      </w:rPr>
      <w:tab/>
    </w:r>
    <w:sdt>
      <w:sdtPr>
        <w:rPr>
          <w:rFonts w:ascii="Times New Roman" w:hAnsi="Times New Roman" w:cs="Times New Roman"/>
          <w:sz w:val="24"/>
          <w:szCs w:val="24"/>
        </w:rPr>
        <w:id w:val="39841416"/>
        <w:docPartObj>
          <w:docPartGallery w:val="Page Numbers (Top of Page)"/>
          <w:docPartUnique/>
        </w:docPartObj>
      </w:sdtPr>
      <w:sdtContent>
        <w:r w:rsidR="00A011D4" w:rsidRPr="00C72352">
          <w:rPr>
            <w:rFonts w:ascii="Times New Roman" w:hAnsi="Times New Roman" w:cs="Times New Roman"/>
            <w:sz w:val="24"/>
            <w:szCs w:val="24"/>
          </w:rPr>
          <w:fldChar w:fldCharType="begin"/>
        </w:r>
        <w:r w:rsidRPr="00C72352">
          <w:rPr>
            <w:rFonts w:ascii="Times New Roman" w:hAnsi="Times New Roman" w:cs="Times New Roman"/>
            <w:sz w:val="24"/>
            <w:szCs w:val="24"/>
          </w:rPr>
          <w:instrText xml:space="preserve"> PAGE   \* MERGEFORMAT </w:instrText>
        </w:r>
        <w:r w:rsidR="00A011D4" w:rsidRPr="00C72352">
          <w:rPr>
            <w:rFonts w:ascii="Times New Roman" w:hAnsi="Times New Roman" w:cs="Times New Roman"/>
            <w:sz w:val="24"/>
            <w:szCs w:val="24"/>
          </w:rPr>
          <w:fldChar w:fldCharType="separate"/>
        </w:r>
        <w:r w:rsidR="00F77DAB">
          <w:rPr>
            <w:rFonts w:ascii="Times New Roman" w:hAnsi="Times New Roman" w:cs="Times New Roman"/>
            <w:noProof/>
            <w:sz w:val="24"/>
            <w:szCs w:val="24"/>
          </w:rPr>
          <w:t>5</w:t>
        </w:r>
        <w:r w:rsidR="00A011D4" w:rsidRPr="00C72352">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9E2" w:rsidRPr="00C72352" w:rsidRDefault="00C72352" w:rsidP="00C72352">
    <w:pPr>
      <w:pStyle w:val="Header"/>
      <w:jc w:val="right"/>
      <w:rPr>
        <w:rFonts w:ascii="Times New Roman" w:hAnsi="Times New Roman" w:cs="Times New Roman"/>
        <w:sz w:val="24"/>
        <w:szCs w:val="24"/>
      </w:rPr>
    </w:pPr>
    <w:r w:rsidRPr="00C72352">
      <w:rPr>
        <w:rFonts w:ascii="Times New Roman" w:hAnsi="Times New Roman" w:cs="Times New Roman"/>
        <w:sz w:val="24"/>
        <w:szCs w:val="24"/>
      </w:rPr>
      <w:t xml:space="preserve">Running head: SARAH BLOOM </w:t>
    </w:r>
    <w:r w:rsidRPr="00C72352">
      <w:rPr>
        <w:rFonts w:ascii="Times New Roman" w:hAnsi="Times New Roman" w:cs="Times New Roman"/>
        <w:sz w:val="24"/>
        <w:szCs w:val="24"/>
      </w:rPr>
      <w:tab/>
    </w:r>
    <w:r w:rsidRPr="00C72352">
      <w:rPr>
        <w:rFonts w:ascii="Times New Roman" w:hAnsi="Times New Roman" w:cs="Times New Roman"/>
        <w:sz w:val="24"/>
        <w:szCs w:val="24"/>
      </w:rPr>
      <w:tab/>
    </w:r>
    <w:sdt>
      <w:sdtPr>
        <w:rPr>
          <w:rFonts w:ascii="Times New Roman" w:hAnsi="Times New Roman" w:cs="Times New Roman"/>
          <w:sz w:val="24"/>
          <w:szCs w:val="24"/>
        </w:rPr>
        <w:id w:val="39841381"/>
        <w:docPartObj>
          <w:docPartGallery w:val="Page Numbers (Top of Page)"/>
          <w:docPartUnique/>
        </w:docPartObj>
      </w:sdtPr>
      <w:sdtContent>
        <w:r w:rsidR="00A011D4" w:rsidRPr="00C72352">
          <w:rPr>
            <w:rFonts w:ascii="Times New Roman" w:hAnsi="Times New Roman" w:cs="Times New Roman"/>
            <w:sz w:val="24"/>
            <w:szCs w:val="24"/>
          </w:rPr>
          <w:fldChar w:fldCharType="begin"/>
        </w:r>
        <w:r w:rsidRPr="00C72352">
          <w:rPr>
            <w:rFonts w:ascii="Times New Roman" w:hAnsi="Times New Roman" w:cs="Times New Roman"/>
            <w:sz w:val="24"/>
            <w:szCs w:val="24"/>
          </w:rPr>
          <w:instrText xml:space="preserve"> PAGE   \* MERGEFORMAT </w:instrText>
        </w:r>
        <w:r w:rsidR="00A011D4" w:rsidRPr="00C72352">
          <w:rPr>
            <w:rFonts w:ascii="Times New Roman" w:hAnsi="Times New Roman" w:cs="Times New Roman"/>
            <w:sz w:val="24"/>
            <w:szCs w:val="24"/>
          </w:rPr>
          <w:fldChar w:fldCharType="separate"/>
        </w:r>
        <w:r w:rsidR="00F77DAB">
          <w:rPr>
            <w:rFonts w:ascii="Times New Roman" w:hAnsi="Times New Roman" w:cs="Times New Roman"/>
            <w:noProof/>
            <w:sz w:val="24"/>
            <w:szCs w:val="24"/>
          </w:rPr>
          <w:t>1</w:t>
        </w:r>
        <w:r w:rsidR="00A011D4" w:rsidRPr="00C72352">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3011"/>
    <w:multiLevelType w:val="hybridMultilevel"/>
    <w:tmpl w:val="859C2428"/>
    <w:lvl w:ilvl="0" w:tplc="726C2072">
      <w:start w:val="1"/>
      <w:numFmt w:val="bullet"/>
      <w:lvlText w:val=""/>
      <w:lvlJc w:val="left"/>
      <w:pPr>
        <w:ind w:left="360" w:hanging="360"/>
      </w:pPr>
      <w:rPr>
        <w:rFonts w:ascii="Symbol" w:hAnsi="Symbol" w:hint="default"/>
      </w:rPr>
    </w:lvl>
    <w:lvl w:ilvl="1" w:tplc="FA8698D0" w:tentative="1">
      <w:start w:val="1"/>
      <w:numFmt w:val="bullet"/>
      <w:lvlText w:val="o"/>
      <w:lvlJc w:val="left"/>
      <w:pPr>
        <w:ind w:left="1080" w:hanging="360"/>
      </w:pPr>
      <w:rPr>
        <w:rFonts w:ascii="Courier New" w:hAnsi="Courier New" w:cs="Courier New" w:hint="default"/>
      </w:rPr>
    </w:lvl>
    <w:lvl w:ilvl="2" w:tplc="E1702CAE" w:tentative="1">
      <w:start w:val="1"/>
      <w:numFmt w:val="bullet"/>
      <w:lvlText w:val=""/>
      <w:lvlJc w:val="left"/>
      <w:pPr>
        <w:ind w:left="1800" w:hanging="360"/>
      </w:pPr>
      <w:rPr>
        <w:rFonts w:ascii="Wingdings" w:hAnsi="Wingdings" w:hint="default"/>
      </w:rPr>
    </w:lvl>
    <w:lvl w:ilvl="3" w:tplc="86DABFC2" w:tentative="1">
      <w:start w:val="1"/>
      <w:numFmt w:val="bullet"/>
      <w:lvlText w:val=""/>
      <w:lvlJc w:val="left"/>
      <w:pPr>
        <w:ind w:left="2520" w:hanging="360"/>
      </w:pPr>
      <w:rPr>
        <w:rFonts w:ascii="Symbol" w:hAnsi="Symbol" w:hint="default"/>
      </w:rPr>
    </w:lvl>
    <w:lvl w:ilvl="4" w:tplc="03A42654" w:tentative="1">
      <w:start w:val="1"/>
      <w:numFmt w:val="bullet"/>
      <w:lvlText w:val="o"/>
      <w:lvlJc w:val="left"/>
      <w:pPr>
        <w:ind w:left="3240" w:hanging="360"/>
      </w:pPr>
      <w:rPr>
        <w:rFonts w:ascii="Courier New" w:hAnsi="Courier New" w:cs="Courier New" w:hint="default"/>
      </w:rPr>
    </w:lvl>
    <w:lvl w:ilvl="5" w:tplc="B786195A" w:tentative="1">
      <w:start w:val="1"/>
      <w:numFmt w:val="bullet"/>
      <w:lvlText w:val=""/>
      <w:lvlJc w:val="left"/>
      <w:pPr>
        <w:ind w:left="3960" w:hanging="360"/>
      </w:pPr>
      <w:rPr>
        <w:rFonts w:ascii="Wingdings" w:hAnsi="Wingdings" w:hint="default"/>
      </w:rPr>
    </w:lvl>
    <w:lvl w:ilvl="6" w:tplc="D28A8666" w:tentative="1">
      <w:start w:val="1"/>
      <w:numFmt w:val="bullet"/>
      <w:lvlText w:val=""/>
      <w:lvlJc w:val="left"/>
      <w:pPr>
        <w:ind w:left="4680" w:hanging="360"/>
      </w:pPr>
      <w:rPr>
        <w:rFonts w:ascii="Symbol" w:hAnsi="Symbol" w:hint="default"/>
      </w:rPr>
    </w:lvl>
    <w:lvl w:ilvl="7" w:tplc="67884AD0" w:tentative="1">
      <w:start w:val="1"/>
      <w:numFmt w:val="bullet"/>
      <w:lvlText w:val="o"/>
      <w:lvlJc w:val="left"/>
      <w:pPr>
        <w:ind w:left="5400" w:hanging="360"/>
      </w:pPr>
      <w:rPr>
        <w:rFonts w:ascii="Courier New" w:hAnsi="Courier New" w:cs="Courier New" w:hint="default"/>
      </w:rPr>
    </w:lvl>
    <w:lvl w:ilvl="8" w:tplc="680C13EE" w:tentative="1">
      <w:start w:val="1"/>
      <w:numFmt w:val="bullet"/>
      <w:lvlText w:val=""/>
      <w:lvlJc w:val="left"/>
      <w:pPr>
        <w:ind w:left="6120" w:hanging="360"/>
      </w:pPr>
      <w:rPr>
        <w:rFonts w:ascii="Wingdings" w:hAnsi="Wingdings" w:hint="default"/>
      </w:rPr>
    </w:lvl>
  </w:abstractNum>
  <w:abstractNum w:abstractNumId="1">
    <w:nsid w:val="2B3425E5"/>
    <w:multiLevelType w:val="hybridMultilevel"/>
    <w:tmpl w:val="64F23380"/>
    <w:lvl w:ilvl="0" w:tplc="D2BC0D96">
      <w:start w:val="1"/>
      <w:numFmt w:val="upperLetter"/>
      <w:lvlText w:val="%1."/>
      <w:lvlJc w:val="left"/>
      <w:pPr>
        <w:ind w:left="360" w:hanging="360"/>
      </w:pPr>
      <w:rPr>
        <w:rFonts w:hint="default"/>
      </w:rPr>
    </w:lvl>
    <w:lvl w:ilvl="1" w:tplc="B854EE40" w:tentative="1">
      <w:start w:val="1"/>
      <w:numFmt w:val="lowerLetter"/>
      <w:lvlText w:val="%2."/>
      <w:lvlJc w:val="left"/>
      <w:pPr>
        <w:ind w:left="1080" w:hanging="360"/>
      </w:pPr>
    </w:lvl>
    <w:lvl w:ilvl="2" w:tplc="B6788A90" w:tentative="1">
      <w:start w:val="1"/>
      <w:numFmt w:val="lowerRoman"/>
      <w:lvlText w:val="%3."/>
      <w:lvlJc w:val="right"/>
      <w:pPr>
        <w:ind w:left="1800" w:hanging="180"/>
      </w:pPr>
    </w:lvl>
    <w:lvl w:ilvl="3" w:tplc="1C2E535C" w:tentative="1">
      <w:start w:val="1"/>
      <w:numFmt w:val="decimal"/>
      <w:lvlText w:val="%4."/>
      <w:lvlJc w:val="left"/>
      <w:pPr>
        <w:ind w:left="2520" w:hanging="360"/>
      </w:pPr>
    </w:lvl>
    <w:lvl w:ilvl="4" w:tplc="84205A20" w:tentative="1">
      <w:start w:val="1"/>
      <w:numFmt w:val="lowerLetter"/>
      <w:lvlText w:val="%5."/>
      <w:lvlJc w:val="left"/>
      <w:pPr>
        <w:ind w:left="3240" w:hanging="360"/>
      </w:pPr>
    </w:lvl>
    <w:lvl w:ilvl="5" w:tplc="E02C956E" w:tentative="1">
      <w:start w:val="1"/>
      <w:numFmt w:val="lowerRoman"/>
      <w:lvlText w:val="%6."/>
      <w:lvlJc w:val="right"/>
      <w:pPr>
        <w:ind w:left="3960" w:hanging="180"/>
      </w:pPr>
    </w:lvl>
    <w:lvl w:ilvl="6" w:tplc="3118B170" w:tentative="1">
      <w:start w:val="1"/>
      <w:numFmt w:val="decimal"/>
      <w:lvlText w:val="%7."/>
      <w:lvlJc w:val="left"/>
      <w:pPr>
        <w:ind w:left="4680" w:hanging="360"/>
      </w:pPr>
    </w:lvl>
    <w:lvl w:ilvl="7" w:tplc="88EC37F2" w:tentative="1">
      <w:start w:val="1"/>
      <w:numFmt w:val="lowerLetter"/>
      <w:lvlText w:val="%8."/>
      <w:lvlJc w:val="left"/>
      <w:pPr>
        <w:ind w:left="5400" w:hanging="360"/>
      </w:pPr>
    </w:lvl>
    <w:lvl w:ilvl="8" w:tplc="B602116E"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A1E68"/>
    <w:rsid w:val="000C3D08"/>
    <w:rsid w:val="00121EE4"/>
    <w:rsid w:val="00140088"/>
    <w:rsid w:val="001B2A2C"/>
    <w:rsid w:val="0020629A"/>
    <w:rsid w:val="003B4437"/>
    <w:rsid w:val="003B7BD8"/>
    <w:rsid w:val="004079E2"/>
    <w:rsid w:val="004E450F"/>
    <w:rsid w:val="005F5DE1"/>
    <w:rsid w:val="00603F86"/>
    <w:rsid w:val="00605CE4"/>
    <w:rsid w:val="00641404"/>
    <w:rsid w:val="00780E04"/>
    <w:rsid w:val="008B2DC2"/>
    <w:rsid w:val="008C7649"/>
    <w:rsid w:val="009D2ED0"/>
    <w:rsid w:val="00A011D4"/>
    <w:rsid w:val="00C72352"/>
    <w:rsid w:val="00DA1E68"/>
    <w:rsid w:val="00DD5943"/>
    <w:rsid w:val="00F749E4"/>
    <w:rsid w:val="00F77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6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2DC2"/>
    <w:pPr>
      <w:ind w:left="720"/>
      <w:contextualSpacing/>
    </w:pPr>
  </w:style>
  <w:style w:type="paragraph" w:styleId="Header">
    <w:name w:val="header"/>
    <w:basedOn w:val="Normal"/>
    <w:link w:val="HeaderChar"/>
    <w:uiPriority w:val="99"/>
    <w:unhideWhenUsed/>
    <w:rsid w:val="004079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9E2"/>
  </w:style>
  <w:style w:type="paragraph" w:styleId="Footer">
    <w:name w:val="footer"/>
    <w:basedOn w:val="Normal"/>
    <w:link w:val="FooterChar"/>
    <w:uiPriority w:val="99"/>
    <w:unhideWhenUsed/>
    <w:rsid w:val="004079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9E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RMT Receptionist</dc:creator>
  <cp:lastModifiedBy>user</cp:lastModifiedBy>
  <cp:revision>2</cp:revision>
  <dcterms:created xsi:type="dcterms:W3CDTF">2019-12-11T18:57:00Z</dcterms:created>
  <dcterms:modified xsi:type="dcterms:W3CDTF">2019-12-11T18:57:00Z</dcterms:modified>
</cp:coreProperties>
</file>